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F2" w:rsidRPr="009A3BB7" w:rsidRDefault="008C21F2" w:rsidP="008C21F2">
      <w:pPr>
        <w:spacing w:line="540" w:lineRule="exact"/>
        <w:rPr>
          <w:rFonts w:eastAsia="黑体"/>
          <w:sz w:val="32"/>
          <w:szCs w:val="32"/>
        </w:rPr>
      </w:pPr>
      <w:r w:rsidRPr="009A3BB7">
        <w:rPr>
          <w:rFonts w:eastAsia="黑体"/>
          <w:sz w:val="32"/>
          <w:szCs w:val="32"/>
        </w:rPr>
        <w:t>附件</w:t>
      </w:r>
      <w:r w:rsidRPr="009A3BB7">
        <w:rPr>
          <w:rFonts w:eastAsia="黑体"/>
          <w:sz w:val="32"/>
          <w:szCs w:val="32"/>
        </w:rPr>
        <w:t>2</w:t>
      </w:r>
    </w:p>
    <w:p w:rsidR="008C21F2" w:rsidRPr="009A3BB7" w:rsidRDefault="008C21F2" w:rsidP="008C21F2">
      <w:pPr>
        <w:spacing w:line="540" w:lineRule="exact"/>
        <w:rPr>
          <w:rFonts w:eastAsia="黑体"/>
          <w:sz w:val="32"/>
          <w:szCs w:val="32"/>
        </w:rPr>
      </w:pPr>
    </w:p>
    <w:p w:rsidR="008C21F2" w:rsidRPr="009A3BB7" w:rsidRDefault="008C21F2" w:rsidP="008C21F2">
      <w:pPr>
        <w:spacing w:line="540" w:lineRule="exact"/>
        <w:jc w:val="center"/>
        <w:rPr>
          <w:rFonts w:eastAsia="华文中宋"/>
          <w:sz w:val="44"/>
          <w:szCs w:val="44"/>
        </w:rPr>
      </w:pPr>
      <w:r w:rsidRPr="009A3BB7">
        <w:rPr>
          <w:rFonts w:eastAsia="华文中宋"/>
          <w:sz w:val="44"/>
          <w:szCs w:val="44"/>
        </w:rPr>
        <w:t>江苏省义务教育学校违规办学专项治理工作</w:t>
      </w:r>
    </w:p>
    <w:p w:rsidR="008C21F2" w:rsidRPr="009A3BB7" w:rsidRDefault="008C21F2" w:rsidP="008C21F2">
      <w:pPr>
        <w:spacing w:line="540" w:lineRule="exact"/>
        <w:jc w:val="center"/>
        <w:rPr>
          <w:rFonts w:eastAsia="华文中宋"/>
          <w:sz w:val="44"/>
          <w:szCs w:val="44"/>
        </w:rPr>
      </w:pPr>
      <w:r w:rsidRPr="009A3BB7">
        <w:rPr>
          <w:rFonts w:eastAsia="华文中宋"/>
          <w:sz w:val="44"/>
          <w:szCs w:val="44"/>
        </w:rPr>
        <w:t>情况信息表</w:t>
      </w:r>
    </w:p>
    <w:p w:rsidR="008C21F2" w:rsidRPr="009A3BB7" w:rsidRDefault="008C21F2" w:rsidP="008C21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32"/>
        <w:gridCol w:w="2045"/>
        <w:gridCol w:w="2255"/>
      </w:tblGrid>
      <w:tr w:rsidR="008C21F2" w:rsidRPr="009A3BB7" w:rsidTr="004D3F1F">
        <w:trPr>
          <w:trHeight w:val="636"/>
        </w:trPr>
        <w:tc>
          <w:tcPr>
            <w:tcW w:w="1668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设区市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县（市、区）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661"/>
        </w:trPr>
        <w:tc>
          <w:tcPr>
            <w:tcW w:w="1668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学校名称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公民</w:t>
            </w:r>
            <w:proofErr w:type="gramStart"/>
            <w:r w:rsidRPr="009A3BB7">
              <w:rPr>
                <w:rFonts w:eastAsia="仿宋_GB2312"/>
                <w:sz w:val="32"/>
                <w:szCs w:val="32"/>
              </w:rPr>
              <w:t>办性质</w:t>
            </w:r>
            <w:proofErr w:type="gramEnd"/>
          </w:p>
        </w:tc>
        <w:tc>
          <w:tcPr>
            <w:tcW w:w="2255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118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学校自查自纠情况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551"/>
        </w:trPr>
        <w:tc>
          <w:tcPr>
            <w:tcW w:w="1668" w:type="dxa"/>
            <w:vMerge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责任人：</w:t>
            </w:r>
          </w:p>
        </w:tc>
      </w:tr>
      <w:tr w:rsidR="008C21F2" w:rsidRPr="009A3BB7" w:rsidTr="004D3F1F">
        <w:trPr>
          <w:trHeight w:val="112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县级全面督查发现问题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139"/>
        </w:trPr>
        <w:tc>
          <w:tcPr>
            <w:tcW w:w="1668" w:type="dxa"/>
            <w:vMerge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责任人：</w:t>
            </w:r>
          </w:p>
        </w:tc>
      </w:tr>
      <w:tr w:rsidR="008C21F2" w:rsidRPr="009A3BB7" w:rsidTr="004D3F1F">
        <w:trPr>
          <w:trHeight w:val="12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市级专项督查发现问题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139"/>
        </w:trPr>
        <w:tc>
          <w:tcPr>
            <w:tcW w:w="1668" w:type="dxa"/>
            <w:vMerge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责任人：</w:t>
            </w:r>
          </w:p>
        </w:tc>
      </w:tr>
      <w:tr w:rsidR="008C21F2" w:rsidRPr="009A3BB7" w:rsidTr="004D3F1F">
        <w:trPr>
          <w:trHeight w:val="110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省级重点督查发现问题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139"/>
        </w:trPr>
        <w:tc>
          <w:tcPr>
            <w:tcW w:w="1668" w:type="dxa"/>
            <w:vMerge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责任人：</w:t>
            </w:r>
          </w:p>
        </w:tc>
      </w:tr>
      <w:tr w:rsidR="008C21F2" w:rsidRPr="009A3BB7" w:rsidTr="004D3F1F">
        <w:trPr>
          <w:trHeight w:val="1108"/>
        </w:trPr>
        <w:tc>
          <w:tcPr>
            <w:tcW w:w="1668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违规办学处罚依据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C21F2" w:rsidRPr="009A3BB7" w:rsidTr="004D3F1F">
        <w:trPr>
          <w:trHeight w:val="1130"/>
        </w:trPr>
        <w:tc>
          <w:tcPr>
            <w:tcW w:w="1668" w:type="dxa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A3BB7">
              <w:rPr>
                <w:rFonts w:eastAsia="仿宋_GB2312"/>
                <w:sz w:val="32"/>
                <w:szCs w:val="32"/>
              </w:rPr>
              <w:t>处理意见</w:t>
            </w:r>
          </w:p>
        </w:tc>
        <w:tc>
          <w:tcPr>
            <w:tcW w:w="6932" w:type="dxa"/>
            <w:gridSpan w:val="3"/>
            <w:shd w:val="clear" w:color="auto" w:fill="auto"/>
            <w:vAlign w:val="center"/>
          </w:tcPr>
          <w:p w:rsidR="008C21F2" w:rsidRPr="009A3BB7" w:rsidRDefault="008C21F2" w:rsidP="004D3F1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9231F5" w:rsidRDefault="009231F5">
      <w:pPr>
        <w:rPr>
          <w:rFonts w:hint="eastAsia"/>
        </w:rPr>
      </w:pPr>
    </w:p>
    <w:p w:rsidR="00AC60F2" w:rsidRDefault="00AC60F2">
      <w:pPr>
        <w:rPr>
          <w:rFonts w:hint="eastAsia"/>
        </w:rPr>
      </w:pPr>
    </w:p>
    <w:p w:rsidR="00AC60F2" w:rsidRDefault="00AC60F2">
      <w:pPr>
        <w:rPr>
          <w:rFonts w:hint="eastAsia"/>
        </w:rPr>
      </w:pPr>
    </w:p>
    <w:p w:rsidR="00AC60F2" w:rsidRDefault="00AC60F2">
      <w:pPr>
        <w:rPr>
          <w:rFonts w:hint="eastAsia"/>
        </w:rPr>
      </w:pPr>
    </w:p>
    <w:p w:rsidR="00AC60F2" w:rsidRPr="00AC60F2" w:rsidRDefault="00AC60F2" w:rsidP="00AC60F2">
      <w:pPr>
        <w:spacing w:line="540" w:lineRule="exact"/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 w:rsidRPr="00AC60F2">
        <w:rPr>
          <w:rFonts w:ascii="方正小标宋_GBK" w:eastAsia="方正小标宋_GBK" w:hint="eastAsia"/>
          <w:sz w:val="44"/>
          <w:szCs w:val="44"/>
        </w:rPr>
        <w:lastRenderedPageBreak/>
        <w:t>学校自查自</w:t>
      </w:r>
      <w:proofErr w:type="gramStart"/>
      <w:r w:rsidRPr="00AC60F2">
        <w:rPr>
          <w:rFonts w:ascii="方正小标宋_GBK" w:eastAsia="方正小标宋_GBK" w:hint="eastAsia"/>
          <w:sz w:val="44"/>
          <w:szCs w:val="44"/>
        </w:rPr>
        <w:t>纠问题</w:t>
      </w:r>
      <w:proofErr w:type="gramEnd"/>
      <w:r w:rsidRPr="00AC60F2">
        <w:rPr>
          <w:rFonts w:ascii="方正小标宋_GBK" w:eastAsia="方正小标宋_GBK" w:hint="eastAsia"/>
          <w:sz w:val="44"/>
          <w:szCs w:val="44"/>
        </w:rPr>
        <w:t>清单</w:t>
      </w:r>
    </w:p>
    <w:p w:rsidR="00AC60F2" w:rsidRDefault="00AC60F2" w:rsidP="00AC60F2">
      <w:pPr>
        <w:spacing w:line="540" w:lineRule="exact"/>
        <w:ind w:firstLineChars="200" w:firstLine="640"/>
        <w:rPr>
          <w:rFonts w:eastAsia="楷体" w:hint="eastAsia"/>
          <w:sz w:val="32"/>
          <w:szCs w:val="32"/>
        </w:rPr>
      </w:pP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楷体"/>
          <w:sz w:val="32"/>
          <w:szCs w:val="32"/>
        </w:rPr>
      </w:pPr>
      <w:r w:rsidRPr="009A3BB7">
        <w:rPr>
          <w:rFonts w:eastAsia="楷体"/>
          <w:sz w:val="32"/>
          <w:szCs w:val="32"/>
        </w:rPr>
        <w:t>重点督查违规招生入学行为：</w:t>
      </w: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BB7">
        <w:rPr>
          <w:rFonts w:eastAsia="仿宋_GB2312"/>
          <w:sz w:val="32"/>
          <w:szCs w:val="32"/>
        </w:rPr>
        <w:t>1</w:t>
      </w:r>
      <w:r w:rsidRPr="009A3BB7">
        <w:rPr>
          <w:rFonts w:eastAsia="仿宋_GB2312"/>
          <w:sz w:val="32"/>
          <w:szCs w:val="32"/>
        </w:rPr>
        <w:t>．公办学校未实行免试就近入学的。</w:t>
      </w: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BB7">
        <w:rPr>
          <w:rFonts w:eastAsia="仿宋_GB2312"/>
          <w:sz w:val="32"/>
          <w:szCs w:val="32"/>
        </w:rPr>
        <w:t>2</w:t>
      </w:r>
      <w:r w:rsidRPr="009A3BB7">
        <w:rPr>
          <w:rFonts w:eastAsia="仿宋_GB2312"/>
          <w:sz w:val="32"/>
          <w:szCs w:val="32"/>
        </w:rPr>
        <w:t>．民办学校没有严格遵守义务教育免试入学规定，以各种名义组织考试选拔学生的。</w:t>
      </w: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BB7">
        <w:rPr>
          <w:rFonts w:eastAsia="仿宋_GB2312"/>
          <w:sz w:val="32"/>
          <w:szCs w:val="32"/>
        </w:rPr>
        <w:t>3</w:t>
      </w:r>
      <w:r w:rsidRPr="009A3BB7">
        <w:rPr>
          <w:rFonts w:eastAsia="仿宋_GB2312"/>
          <w:sz w:val="32"/>
          <w:szCs w:val="32"/>
        </w:rPr>
        <w:t>．民办学校招生未纳入属地统一管理，无计划和超计划招生，或超出审批范围招生的，未与公办学校同步且提前招生的。</w:t>
      </w: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BB7">
        <w:rPr>
          <w:rFonts w:eastAsia="仿宋_GB2312"/>
          <w:sz w:val="32"/>
          <w:szCs w:val="32"/>
        </w:rPr>
        <w:t>4</w:t>
      </w:r>
      <w:r w:rsidRPr="009A3BB7">
        <w:rPr>
          <w:rFonts w:eastAsia="仿宋_GB2312"/>
          <w:sz w:val="32"/>
          <w:szCs w:val="32"/>
        </w:rPr>
        <w:t>．公办和民办学校以各类竞赛证书、学科竞赛成绩、考</w:t>
      </w:r>
      <w:proofErr w:type="gramStart"/>
      <w:r w:rsidRPr="009A3BB7">
        <w:rPr>
          <w:rFonts w:eastAsia="仿宋_GB2312"/>
          <w:sz w:val="32"/>
          <w:szCs w:val="32"/>
        </w:rPr>
        <w:t>级证明</w:t>
      </w:r>
      <w:proofErr w:type="gramEnd"/>
      <w:r w:rsidRPr="009A3BB7">
        <w:rPr>
          <w:rFonts w:eastAsia="仿宋_GB2312"/>
          <w:sz w:val="32"/>
          <w:szCs w:val="32"/>
        </w:rPr>
        <w:t>或社会培训机构组织的各类考试结果等作为招生入学和分班依据的。</w:t>
      </w:r>
    </w:p>
    <w:p w:rsidR="00AC60F2" w:rsidRPr="009A3BB7" w:rsidRDefault="00AC60F2" w:rsidP="00AC60F2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BB7">
        <w:rPr>
          <w:rFonts w:eastAsia="仿宋_GB2312"/>
          <w:sz w:val="32"/>
          <w:szCs w:val="32"/>
        </w:rPr>
        <w:t>5</w:t>
      </w:r>
      <w:r w:rsidRPr="009A3BB7">
        <w:rPr>
          <w:rFonts w:eastAsia="仿宋_GB2312"/>
          <w:sz w:val="32"/>
          <w:szCs w:val="32"/>
        </w:rPr>
        <w:t>．公办和民办学校收取与招生入学挂钩的赞助费和捐资助学费的。</w:t>
      </w:r>
    </w:p>
    <w:p w:rsidR="00AC60F2" w:rsidRPr="00AC60F2" w:rsidRDefault="00AC60F2"/>
    <w:sectPr w:rsidR="00AC60F2" w:rsidRPr="00AC60F2" w:rsidSect="00FB553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2F" w:rsidRDefault="00A34B2F" w:rsidP="008C21F2">
      <w:r>
        <w:separator/>
      </w:r>
    </w:p>
  </w:endnote>
  <w:endnote w:type="continuationSeparator" w:id="0">
    <w:p w:rsidR="00A34B2F" w:rsidRDefault="00A34B2F" w:rsidP="008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2F" w:rsidRDefault="00A34B2F" w:rsidP="008C21F2">
      <w:r>
        <w:separator/>
      </w:r>
    </w:p>
  </w:footnote>
  <w:footnote w:type="continuationSeparator" w:id="0">
    <w:p w:rsidR="00A34B2F" w:rsidRDefault="00A34B2F" w:rsidP="008C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D4"/>
    <w:rsid w:val="001450CB"/>
    <w:rsid w:val="008C21F2"/>
    <w:rsid w:val="008D14D4"/>
    <w:rsid w:val="009231F5"/>
    <w:rsid w:val="00A34B2F"/>
    <w:rsid w:val="00AC60F2"/>
    <w:rsid w:val="00F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XIAOAN</dc:creator>
  <cp:keywords/>
  <dc:description/>
  <cp:lastModifiedBy>XIAOAN</cp:lastModifiedBy>
  <cp:revision>5</cp:revision>
  <dcterms:created xsi:type="dcterms:W3CDTF">2019-06-25T02:53:00Z</dcterms:created>
  <dcterms:modified xsi:type="dcterms:W3CDTF">2019-06-25T06:28:00Z</dcterms:modified>
</cp:coreProperties>
</file>