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产品清单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315"/>
        <w:gridCol w:w="1301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331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产品名称</w:t>
            </w:r>
          </w:p>
        </w:tc>
        <w:tc>
          <w:tcPr>
            <w:tcW w:w="1301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数量</w:t>
            </w:r>
          </w:p>
        </w:tc>
        <w:tc>
          <w:tcPr>
            <w:tcW w:w="2961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</w:tr>
      <w:tr>
        <w:tc>
          <w:tcPr>
            <w:tcW w:w="9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防火墙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1台</w:t>
            </w: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三年原厂质保、技术支持。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三层核心交换机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1台</w:t>
            </w: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三年原厂质保、技术支持。</w:t>
            </w:r>
          </w:p>
        </w:tc>
      </w:tr>
    </w:tbl>
    <w:p>
      <w:pPr>
        <w:rPr>
          <w:b/>
          <w:bCs/>
          <w:sz w:val="28"/>
          <w:szCs w:val="28"/>
        </w:rPr>
      </w:pPr>
    </w:p>
    <w:p>
      <w:pPr>
        <w:jc w:val="left"/>
      </w:pPr>
      <w:r>
        <w:rPr>
          <w:b/>
          <w:bCs/>
          <w:sz w:val="28"/>
          <w:szCs w:val="28"/>
        </w:rPr>
        <w:t>防火墙技术参数（壹台）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指标项</w:t>
            </w:r>
          </w:p>
        </w:tc>
        <w:tc>
          <w:tcPr>
            <w:tcW w:w="70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★性能要求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1U机箱，配置不少于4个千兆电口；防火墙吞吐:≥2Gbps，并发连接:≥50万，每秒新建连接:≥1.5万；默认含IPSEC VPN模块，可扩展AV专业版防病毒模块、SSL VPN模块。三年原厂质保服务。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7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系统稳定性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为保障设备系统封装的严谨性和后期升级的稳定性，要求设备生产商具备不低于CMMI5级软件开发成熟度认证（提供证书复印件，加盖原厂公章）。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路由交换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528847409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支持RIPv1/v2，OSPFv2/v3，BGP等动态路由协议；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链路聚合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528847537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★支持多链路出站负载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支持基于源/目的IP、源/目的端口、协议、来进行选路的策略路由选路功能；</w:t>
            </w:r>
            <w:bookmarkEnd w:id="1"/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提供10中以上的链路聚合算法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（需提供相关功能截图证明）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地址转换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支持IPv4／v6 NAT地址转换，支持源地址转换，目的地址转换和双向地址转换，支持针对源IP、目的IP和双向IP连接数控制；支持NAT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、NAT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地址转换；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2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DDOS防御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支持SYN Flood、ICMP Flood、UDP Flood、DNS Flood、ARP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Flood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攻击防护；</w:t>
            </w:r>
          </w:p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支持内网访问控制，配置内网区域只允许指定的IP地址或IP范围对外进行访问，防止内部伪造源IP对外DoS攻击的情况；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2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虚拟化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防火墙支持虚拟化，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配置文件、系统服务、路由、链路聚合、安全策略、NAT策略、带宽管理、认证策略、IPV6功能、URL过滤、病毒过滤、WAF、内容过滤、审计、报表、防代理等安全功能虚拟化；（提供相关证明材料，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4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系统配置管理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支持安全策略一体化配置，通过一条策略既可实现不同安全功能的配置；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★</w:t>
            </w: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产品资质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spacing w:before="60" w:after="60" w:line="295" w:lineRule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具备公安部颁发的《计算机信息系统安全专用产品销售许可证》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before="60" w:after="60" w:line="295" w:lineRule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产品具有中国国家信息安全测评认证中心颁发的《信息技术产品安全测评证书-EAL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+》证书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（提供证书复印件，加盖原厂公章）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★</w:t>
            </w:r>
            <w:r>
              <w:rPr>
                <w:rFonts w:asciiTheme="minorEastAsia" w:hAnsiTheme="minorEastAsia" w:cs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厂商资质</w:t>
            </w:r>
          </w:p>
        </w:tc>
        <w:tc>
          <w:tcPr>
            <w:tcW w:w="7075" w:type="dxa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具备中国信息安全测评中心颁发的《国家信息安全漏洞库（CNNVD）技术支撑单位等级证书》</w:t>
            </w:r>
            <w:r>
              <w:rPr>
                <w:rFonts w:hint="default" w:ascii="仿宋" w:hAnsi="仿宋" w:eastAsia="仿宋" w:cs="仿宋"/>
                <w:sz w:val="24"/>
              </w:rPr>
              <w:t>一</w:t>
            </w:r>
            <w:r>
              <w:rPr>
                <w:rFonts w:hint="eastAsia" w:ascii="仿宋" w:hAnsi="仿宋" w:eastAsia="仿宋" w:cs="仿宋"/>
                <w:sz w:val="24"/>
              </w:rPr>
              <w:t>级；</w:t>
            </w:r>
            <w:r>
              <w:rPr>
                <w:rFonts w:ascii="仿宋" w:hAnsi="仿宋" w:eastAsia="仿宋" w:cs="仿宋"/>
                <w:sz w:val="24"/>
              </w:rPr>
              <w:t>（提供证书复印件，加盖原厂公章）</w:t>
            </w:r>
          </w:p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具备国家计算机网络应急技术处理协调中心颁发的《网络安全应急服务支撑单位证书（国家级）》；</w:t>
            </w:r>
            <w:r>
              <w:rPr>
                <w:rFonts w:ascii="仿宋" w:hAnsi="仿宋" w:eastAsia="仿宋" w:cs="仿宋"/>
                <w:sz w:val="24"/>
              </w:rPr>
              <w:t>（提供证书复印件，加盖原厂公章）</w:t>
            </w:r>
          </w:p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设备生产商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具备国家信息安全测评中心颁发的《国家信息安全测评信息安全服务资质证书》（安全开发类）二级。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eastAsia="zh-CN"/>
              </w:rPr>
              <w:t>（提供证书复印件，加盖原厂公章）</w:t>
            </w:r>
            <w:bookmarkStart w:id="3" w:name="_GoBack"/>
            <w:bookmarkEnd w:id="3"/>
          </w:p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厂商是微软安全响应中心发起的MAPP计划成员，可在微软发布每月安全公告之前获得微软产品的详细漏洞信息，为用户提供更及时的安全防护；</w:t>
            </w:r>
          </w:p>
        </w:tc>
      </w:tr>
    </w:tbl>
    <w:p/>
    <w:p/>
    <w:p/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三层核心交换机技术参数</w:t>
      </w:r>
      <w:r>
        <w:rPr>
          <w:b/>
          <w:bCs/>
          <w:sz w:val="28"/>
          <w:szCs w:val="28"/>
        </w:rPr>
        <w:t>（壹台）</w:t>
      </w:r>
    </w:p>
    <w:tbl>
      <w:tblPr>
        <w:tblStyle w:val="7"/>
        <w:tblW w:w="83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360"/>
      </w:tblGrid>
      <w:tr>
        <w:trPr>
          <w:trHeight w:val="27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bookmarkStart w:id="2" w:name="_Hlk44941634"/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指标项</w:t>
            </w: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参数要求</w:t>
            </w:r>
          </w:p>
        </w:tc>
      </w:tr>
      <w:tr>
        <w:trPr>
          <w:trHeight w:val="270" w:hRule="atLeast"/>
        </w:trPr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硬件规格</w:t>
            </w: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sz w:val="24"/>
              </w:rPr>
              <w:t>固化</w:t>
            </w:r>
            <w:r>
              <w:rPr>
                <w:rFonts w:ascii="仿宋" w:hAnsi="仿宋" w:eastAsia="仿宋" w:cs="仿宋"/>
                <w:sz w:val="24"/>
              </w:rPr>
              <w:t>100/1000Mbps SFP光口≥28，复用的10/100/1000Mbps电口≥8，固化1G/10G SFP+光接口≥4个</w:t>
            </w:r>
          </w:p>
        </w:tc>
      </w:tr>
      <w:tr>
        <w:trPr>
          <w:trHeight w:val="270" w:hRule="atLeas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支持全端口</w:t>
            </w:r>
            <w:r>
              <w:rPr>
                <w:rFonts w:ascii="仿宋" w:hAnsi="仿宋" w:eastAsia="仿宋" w:cs="仿宋"/>
                <w:sz w:val="24"/>
              </w:rPr>
              <w:t>100%线速转发，</w:t>
            </w:r>
            <w:r>
              <w:rPr>
                <w:rFonts w:hint="eastAsia" w:ascii="仿宋" w:hAnsi="仿宋" w:eastAsia="仿宋" w:cs="仿宋"/>
                <w:sz w:val="24"/>
              </w:rPr>
              <w:t>投标时提供第三方权威机构检验报告复印件。</w:t>
            </w:r>
          </w:p>
        </w:tc>
      </w:tr>
      <w:tr>
        <w:trPr>
          <w:trHeight w:val="270" w:hRule="atLeas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设备可提供</w:t>
            </w:r>
            <w:r>
              <w:rPr>
                <w:rFonts w:ascii="仿宋" w:hAnsi="仿宋" w:eastAsia="仿宋" w:cs="仿宋"/>
                <w:sz w:val="24"/>
              </w:rPr>
              <w:t>2个扩展槽</w:t>
            </w:r>
          </w:p>
        </w:tc>
      </w:tr>
      <w:tr>
        <w:trPr>
          <w:trHeight w:val="183" w:hRule="atLeast"/>
        </w:trPr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性能参数</w:t>
            </w: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★交换容量≥6.8</w:t>
            </w:r>
            <w:r>
              <w:rPr>
                <w:rFonts w:ascii="仿宋" w:hAnsi="仿宋" w:eastAsia="仿宋" w:cs="仿宋"/>
                <w:sz w:val="24"/>
              </w:rPr>
              <w:t>Tbps，包转发性能≥</w:t>
            </w:r>
            <w:r>
              <w:rPr>
                <w:rFonts w:hint="eastAsia" w:ascii="仿宋" w:hAnsi="仿宋" w:eastAsia="仿宋" w:cs="仿宋"/>
                <w:sz w:val="24"/>
              </w:rPr>
              <w:t>380</w:t>
            </w:r>
            <w:r>
              <w:rPr>
                <w:rFonts w:ascii="仿宋" w:hAnsi="仿宋" w:eastAsia="仿宋" w:cs="仿宋"/>
                <w:sz w:val="24"/>
              </w:rPr>
              <w:t>Mpps</w:t>
            </w:r>
            <w:r>
              <w:rPr>
                <w:rFonts w:hint="eastAsia" w:ascii="仿宋" w:hAnsi="仿宋" w:eastAsia="仿宋" w:cs="仿宋"/>
                <w:sz w:val="24"/>
              </w:rPr>
              <w:t>，</w:t>
            </w:r>
            <w:r>
              <w:rPr>
                <w:rFonts w:ascii="仿宋" w:hAnsi="仿宋" w:eastAsia="仿宋" w:cs="仿宋"/>
                <w:sz w:val="24"/>
              </w:rPr>
              <w:t>提供官网截图及链接证明</w:t>
            </w:r>
          </w:p>
        </w:tc>
      </w:tr>
      <w:tr>
        <w:trPr>
          <w:trHeight w:val="183" w:hRule="atLeas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要求所投设备</w:t>
            </w:r>
            <w:r>
              <w:rPr>
                <w:rFonts w:ascii="仿宋" w:hAnsi="仿宋" w:eastAsia="仿宋" w:cs="仿宋"/>
                <w:sz w:val="24"/>
              </w:rPr>
              <w:t xml:space="preserve">MAC地址≥64K，ARP表项≥20K，FIB表项≥12K </w:t>
            </w:r>
          </w:p>
        </w:tc>
      </w:tr>
      <w:tr>
        <w:trPr>
          <w:trHeight w:val="69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虚拟化</w:t>
            </w: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支持多虚一虚拟化功能，两台设备能协同工作，能将两台跨楼宇物理核心设备虚拟成一台交换机，统一管理，统一转发数据。</w:t>
            </w:r>
          </w:p>
        </w:tc>
      </w:tr>
      <w:tr>
        <w:trPr>
          <w:trHeight w:val="50" w:hRule="atLeast"/>
        </w:trPr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数据中心功能</w:t>
            </w: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★要求所投产品支持</w:t>
            </w:r>
            <w:r>
              <w:rPr>
                <w:rFonts w:ascii="仿宋" w:hAnsi="仿宋" w:eastAsia="仿宋" w:cs="仿宋"/>
                <w:sz w:val="24"/>
              </w:rPr>
              <w:t>openflow 1.3协议，提供在全球SDN测试认证中心官网的测试认证页面可以查询到的截图及链接，提供全球SDN测试认证中心出具的证书及测试报告复印件。</w:t>
            </w:r>
          </w:p>
        </w:tc>
      </w:tr>
      <w:tr>
        <w:trPr>
          <w:trHeight w:val="50" w:hRule="atLeas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</w:t>
            </w:r>
            <w:r>
              <w:rPr>
                <w:rFonts w:ascii="仿宋" w:hAnsi="仿宋" w:eastAsia="仿宋" w:cs="仿宋"/>
                <w:sz w:val="24"/>
              </w:rPr>
              <w:t>要求所投交换机具备IPv6</w:t>
            </w:r>
            <w:r>
              <w:rPr>
                <w:rFonts w:ascii="Calibri" w:hAnsi="Calibri" w:eastAsia="仿宋" w:cs="Calibri"/>
                <w:sz w:val="24"/>
              </w:rPr>
              <w:t> </w:t>
            </w:r>
            <w:r>
              <w:rPr>
                <w:rFonts w:ascii="仿宋" w:hAnsi="仿宋" w:eastAsia="仿宋" w:cs="仿宋"/>
                <w:sz w:val="24"/>
              </w:rPr>
              <w:t>Ready</w:t>
            </w:r>
            <w:r>
              <w:rPr>
                <w:rFonts w:ascii="Calibri" w:hAnsi="Calibri" w:eastAsia="仿宋" w:cs="Calibri"/>
                <w:sz w:val="24"/>
              </w:rPr>
              <w:t> </w:t>
            </w:r>
            <w:r>
              <w:rPr>
                <w:rFonts w:ascii="仿宋" w:hAnsi="仿宋" w:eastAsia="仿宋" w:cs="仿宋"/>
                <w:sz w:val="24"/>
              </w:rPr>
              <w:t>Phase2认证证书，要求投标产品型号与证书型号一致，提供全球IPv6测试中心官网网站查询截图以及证书复印件</w:t>
            </w:r>
          </w:p>
        </w:tc>
      </w:tr>
      <w:tr>
        <w:trPr>
          <w:trHeight w:val="50" w:hRule="atLeast"/>
        </w:trPr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基础特性</w:t>
            </w: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</w:t>
            </w:r>
            <w:r>
              <w:rPr>
                <w:rFonts w:ascii="仿宋" w:hAnsi="仿宋" w:eastAsia="仿宋" w:cs="仿宋"/>
                <w:sz w:val="24"/>
              </w:rPr>
              <w:t>RIP，OSPF，BGP，RIPng，OSPFv3，BGP4+</w:t>
            </w:r>
          </w:p>
        </w:tc>
      </w:tr>
      <w:tr>
        <w:trPr>
          <w:trHeight w:val="50" w:hRule="atLeast"/>
        </w:trPr>
        <w:tc>
          <w:tcPr>
            <w:tcW w:w="2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要求所投产品支持</w:t>
            </w:r>
            <w:r>
              <w:rPr>
                <w:rFonts w:ascii="仿宋" w:hAnsi="仿宋" w:eastAsia="仿宋" w:cs="仿宋"/>
                <w:sz w:val="24"/>
              </w:rPr>
              <w:t xml:space="preserve">sFlow网络监测技术 </w:t>
            </w:r>
          </w:p>
        </w:tc>
      </w:tr>
      <w:tr>
        <w:trPr>
          <w:trHeight w:val="50" w:hRule="atLeast"/>
        </w:trPr>
        <w:tc>
          <w:tcPr>
            <w:tcW w:w="20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A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C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功能</w:t>
            </w: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支持内置</w:t>
            </w:r>
            <w:r>
              <w:rPr>
                <w:rFonts w:ascii="仿宋" w:hAnsi="仿宋" w:eastAsia="仿宋" w:cs="仿宋"/>
                <w:sz w:val="24"/>
              </w:rPr>
              <w:t>AC功能，实现有线无线一体化，最大可管理256个AP，同时支持集群功能</w:t>
            </w:r>
          </w:p>
        </w:tc>
      </w:tr>
      <w:tr>
        <w:trPr>
          <w:trHeight w:val="5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可靠性</w:t>
            </w: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★支持专门基础网络保护机制，能够限制用户向网络中发送数据包的速率，对有攻击行为的用户进行隔离，保证设备和整网的安全稳定运行，</w:t>
            </w:r>
            <w:r>
              <w:rPr>
                <w:rFonts w:ascii="仿宋" w:hAnsi="仿宋" w:eastAsia="仿宋" w:cs="仿宋"/>
                <w:sz w:val="24"/>
              </w:rPr>
              <w:t>投标时提供第三方权威机构检验报告</w:t>
            </w:r>
            <w:r>
              <w:rPr>
                <w:rFonts w:hint="eastAsia" w:ascii="仿宋" w:hAnsi="仿宋" w:eastAsia="仿宋" w:cs="仿宋"/>
                <w:sz w:val="24"/>
              </w:rPr>
              <w:t>复印件。</w:t>
            </w:r>
          </w:p>
        </w:tc>
      </w:tr>
      <w:tr>
        <w:trPr>
          <w:trHeight w:val="5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节能环保</w:t>
            </w: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★整机采用绿色环保设计，满负荷情况下电源功率≤</w:t>
            </w:r>
            <w:r>
              <w:rPr>
                <w:rFonts w:ascii="仿宋" w:hAnsi="仿宋" w:eastAsia="仿宋" w:cs="仿宋"/>
                <w:sz w:val="24"/>
              </w:rPr>
              <w:t>60W，要求提供官网截图。</w:t>
            </w:r>
          </w:p>
        </w:tc>
      </w:tr>
      <w:tr>
        <w:trPr>
          <w:trHeight w:val="936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★配置要求</w:t>
            </w: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每台配置要求如下：</w:t>
            </w:r>
          </w:p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1、</w:t>
            </w:r>
            <w:r>
              <w:rPr>
                <w:rFonts w:hint="eastAsia" w:ascii="仿宋" w:hAnsi="仿宋" w:eastAsia="仿宋" w:cs="仿宋"/>
                <w:sz w:val="24"/>
              </w:rPr>
              <w:t>配置双模块化电源</w:t>
            </w:r>
          </w:p>
          <w:p>
            <w:pPr>
              <w:widowControl/>
              <w:spacing w:before="60" w:after="60" w:line="295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2、配置</w:t>
            </w:r>
            <w:r>
              <w:rPr>
                <w:rFonts w:hint="eastAsia" w:ascii="仿宋" w:hAnsi="仿宋" w:eastAsia="仿宋" w:cs="仿宋"/>
                <w:sz w:val="24"/>
              </w:rPr>
              <w:t>千兆光</w:t>
            </w:r>
            <w:r>
              <w:rPr>
                <w:rFonts w:ascii="仿宋" w:hAnsi="仿宋" w:eastAsia="仿宋" w:cs="仿宋"/>
                <w:sz w:val="24"/>
              </w:rPr>
              <w:t>口数≥</w:t>
            </w:r>
            <w:r>
              <w:rPr>
                <w:rFonts w:hint="eastAsia" w:ascii="仿宋" w:hAnsi="仿宋" w:eastAsia="仿宋" w:cs="仿宋"/>
                <w:sz w:val="24"/>
              </w:rPr>
              <w:t>28个</w:t>
            </w:r>
            <w:r>
              <w:rPr>
                <w:rFonts w:ascii="仿宋" w:hAnsi="仿宋" w:eastAsia="仿宋" w:cs="仿宋"/>
                <w:sz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万兆光</w:t>
            </w:r>
            <w:r>
              <w:rPr>
                <w:rFonts w:ascii="仿宋" w:hAnsi="仿宋" w:eastAsia="仿宋" w:cs="仿宋"/>
                <w:sz w:val="24"/>
              </w:rPr>
              <w:t>接口数≥</w:t>
            </w:r>
            <w:r>
              <w:rPr>
                <w:rFonts w:hint="eastAsia" w:ascii="仿宋" w:hAnsi="仿宋" w:eastAsia="仿宋" w:cs="仿宋"/>
                <w:sz w:val="24"/>
              </w:rPr>
              <w:t>4个，千兆复用接口≥8个</w:t>
            </w:r>
          </w:p>
        </w:tc>
      </w:tr>
      <w:bookmarkEnd w:id="2"/>
    </w:tbl>
    <w:p/>
    <w:p>
      <w:pPr>
        <w:jc w:val="left"/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Verdana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Verdana">
    <w:panose1 w:val="020B08040305040B0204"/>
    <w:charset w:val="00"/>
    <w:family w:val="auto"/>
    <w:pitch w:val="default"/>
    <w:sig w:usb0="A10006FF" w:usb1="4000205B" w:usb2="00000010" w:usb3="00000000" w:csb0="2000019F" w:csb1="00000000"/>
  </w:font>
  <w:font w:name="helvetica neu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WPS-Numbers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幼圆">
    <w:altName w:val="苹方-简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Microsoft YaHei UI">
    <w:altName w:val="苹方-简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WPS-Bullets-new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宋体 ! important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瀹嬩綋">
    <w:altName w:val="苹方-简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WPS-Bullets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冬青黑体简体中文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simsu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彩云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3C8FC"/>
    <w:rsid w:val="001D0580"/>
    <w:rsid w:val="003D0514"/>
    <w:rsid w:val="00515CD4"/>
    <w:rsid w:val="00C0350E"/>
    <w:rsid w:val="00D670FE"/>
    <w:rsid w:val="31A65428"/>
    <w:rsid w:val="37D3C8FC"/>
    <w:rsid w:val="48CA7E69"/>
    <w:rsid w:val="FF1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jc w:val="left"/>
    </w:pPr>
    <w:rPr>
      <w:rFonts w:ascii="Calibri" w:hAnsi="Calibri" w:eastAsia="宋体" w:cs="Times New Roman"/>
      <w:szCs w:val="22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character" w:styleId="6">
    <w:name w:val="annotation reference"/>
    <w:unhideWhenUsed/>
    <w:qFormat/>
    <w:uiPriority w:val="99"/>
    <w:rPr>
      <w:sz w:val="21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批注框文本 字符"/>
    <w:basedOn w:val="5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文字 Char"/>
    <w:basedOn w:val="5"/>
    <w:qFormat/>
    <w:uiPriority w:val="0"/>
    <w:rPr>
      <w:kern w:val="2"/>
      <w:sz w:val="21"/>
      <w:szCs w:val="24"/>
    </w:rPr>
  </w:style>
  <w:style w:type="character" w:customStyle="1" w:styleId="12">
    <w:name w:val="批注文字 字符"/>
    <w:link w:val="3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3">
    <w:name w:val="标题 3 字符"/>
    <w:basedOn w:val="5"/>
    <w:link w:val="2"/>
    <w:qFormat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316</Words>
  <Characters>1807</Characters>
  <Lines>15</Lines>
  <Paragraphs>4</Paragraphs>
  <TotalTime>0</TotalTime>
  <ScaleCrop>false</ScaleCrop>
  <LinksUpToDate>false</LinksUpToDate>
  <CharactersWithSpaces>2119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2020-08-20T11:03:00Z</dcterms:created>
  <dc:creator>xb21cn</dc:creator>
  <cp:lastModifiedBy>jichangfu</cp:lastModifiedBy>
  <dcterms:modified xsi:type="dcterms:W3CDTF">2020-08-21T17:37:36Z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